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6.png" ContentType="image/png"/>
  <Override PartName="/word/media/rId62.png" ContentType="image/png"/>
  <Override PartName="/word/media/rId53.png" ContentType="image/png"/>
  <Override PartName="/word/media/rId58.png" ContentType="image/png"/>
  <Override PartName="/word/media/rId57.png" ContentType="image/png"/>
  <Override PartName="/word/media/rId61.png" ContentType="image/png"/>
  <Override PartName="/word/media/rId55.png" ContentType="image/png"/>
  <Override PartName="/word/media/rId63.png" ContentType="image/png"/>
  <Override PartName="/word/media/rId60.png" ContentType="image/png"/>
  <Override PartName="/word/media/rId59.png" ContentType="image/png"/>
  <Override PartName="/word/media/rId5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Tue May 29 15:25:00 2018 -0700</w:t>
      </w:r>
    </w:p>
    <w:p>
      <w:pPr>
        <w:pStyle w:val="Heading1"/>
      </w:pPr>
      <w:bookmarkStart w:id="30" w:name="abstract"/>
      <w:r>
        <w:t xml:space="preserve">Abstract</w:t>
      </w:r>
      <w:bookmarkEnd w:id="30"/>
    </w:p>
    <w:p>
      <w:pPr>
        <w:pStyle w:val="FirstParagraph"/>
      </w:pPr>
      <w:r>
        <w:t xml:space="preserve">In highly developed areas, many streams may fail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provides context for a macroinvertebrate-based bioasssessment index by predicting a range of expectations that are typical at a site for the observed level of landscape alteration. With this approach, sites can be described as over- or under-scoring relative to an expectatation that is determined by landscape constraints on biological condition. A regional application of the landscape model was used to classify sites and prioritize different management actions by a local stakeholder group of regulators, dischargers, stormwater agencies, and environmental advocates from the San Gabriel River watershed (Los Angeles County, California). Stakeholder decisions were facilitated with the Stream Classification and Priority Explorer (SCAPE) tool that compares observed bioassessment scores with expectations from the landscape model to rapidly identify reaches that are scoring better or worse than expected. Of the 71 sites in the watershed where bioassessment occurred, over half (58%) were found to be constrained by landscape, of which nine were assigned a medium priority for further investigation by the stakeholder group. Similarly, 30% of sites were unconstrained and assigned medium or high priorities for enhanced protection or restoration depending on whether a site was scoring better or worse than expected. A clear gradient from the upper to lower watershed was observed in land use that was consistent with the model predictions, where landscape constraints were more common in the heavily urbanized lower watershed. Interaction with the local stakeholder group was critical in connecting landscape models with observed data to help set management goals appropriate for the region. The availability of geospatial and bioassessment data at the national level suggests that these tools can easily be applied to inform management decisions at other locations where biological indices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local or catchment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estimated to be in poor condition as related to the most commonly observed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Mechanistic linkages between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w:t>
      </w:r>
      <w:r>
        <w:t xml:space="preserve"> </w:t>
      </w:r>
      <w:r>
        <w:t xml:space="preserve">Cormier et al. (</w:t>
      </w:r>
      <w:hyperlink w:anchor="ref-Cormier13">
        <w:r>
          <w:rPr>
            <w:rStyle w:val="Hyperlink"/>
          </w:rPr>
          <w:t xml:space="preserve">2013</w:t>
        </w:r>
      </w:hyperlink>
      <w:r>
        <w:t xml:space="preserve">)</w:t>
      </w:r>
      <w:r>
        <w:t xml:space="preserve">). Land use has long been used as a proxy for water quality condition and a mechanistic understanding of causation is often unnecessary or even impractical to predict degraded condition as a function of watershed activities.</w:t>
      </w:r>
    </w:p>
    <w:p>
      <w:pPr>
        <w:pStyle w:val="BodyText"/>
      </w:pPr>
      <w:r>
        <w:t xml:space="preserve">The ability to effectively manage stream health at the landscape level could depend on developing an expectation of biological potential as a function of land use constraints. Conventional restoration approaches or protective measures at degraded sites have commonly focused on direct improvements at the site-level to mitigate stressors that are ulimately linked to sources upstream</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w:t>
      </w:r>
      <w:r>
        <w:t xml:space="preserve">. Alternatively, upstream preventative measures can also be incentivized at the local level (e.g., farmland best management practices) or enforced through regulation to limit release of pollutants (e.g., NPDES). These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costly and it may be impractical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Methods to develop a landscape context of biotic integrity could be used to prioritize locations where management actions are most likely to have the intended outcomes based on what is likely to be achieved relative to the expectation.</w:t>
      </w:r>
    </w:p>
    <w:p>
      <w:pPr>
        <w:pStyle w:val="BodyText"/>
      </w:pPr>
      <w:r>
        <w:t xml:space="preserve">An approach to comprehensively evaluate the potential for success of alternative management scenarios for streams under landscape constraints could be developed with predictive models. Previous efforts have focused on using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Hill et al.</w:t>
      </w:r>
      <w:r>
        <w:t xml:space="preserve"> </w:t>
      </w:r>
      <w:hyperlink w:anchor="ref-Hill17">
        <w:r>
          <w:rPr>
            <w:rStyle w:val="Hyperlink"/>
          </w:rPr>
          <w:t xml:space="preserve">2017</w:t>
        </w:r>
      </w:hyperlink>
      <w:r>
        <w:t xml:space="preserve">)</w:t>
      </w:r>
      <w:r>
        <w:t xml:space="preserve">. These previous studies were developed primarily to characterize biological condition at unsampled reaches and contribute to the understanding of how biotic integrity varies across the landscape. However, the application of landscape models to describe stream health is relatively new and can be explored in more detail to facilitate an expectation of condition. 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 could be used to predict a range of expectations for biotic integrity. This approach could build on previous applications of landscape models by predicting a lower and upper estimate of what bioassessment index scores are likely relative to the landscape, in addition to estimating biological condition at unsampled reaches. Once the predicted response of macroinvertebrate communities to landscape changes at large spatial scales are understood, expectations can be compared to field samples and sites can be prioritized by local managers to ensure resources are wisely allocated. As such, the development of contextual tools for understanding biological condition across landscape gradients could provide a powerful approach to informing the use of limited resources to manage stream integrity.</w:t>
      </w:r>
    </w:p>
    <w:p>
      <w:pPr>
        <w:pStyle w:val="BodyText"/>
      </w:pPr>
      <w:r>
        <w:t xml:space="preserve">The goal of this project is to demonstrate application of a landscape model to classify and prioritize stream monitoring sites using estimated constraints on biological integrity. This work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 Fox et al.</w:t>
      </w:r>
      <w:r>
        <w:t xml:space="preserve"> </w:t>
      </w:r>
      <w:hyperlink w:anchor="ref-Fox17">
        <w:r>
          <w:rPr>
            <w:rStyle w:val="Hyperlink"/>
          </w:rPr>
          <w:t xml:space="preserve">2017</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A diverse group of stakeholders from local municipalities, water districts, water quality regulatory agencies, consulting groups, and non-government organizations have shared interests in managing aquatic resources in the watershed.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management.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2</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(Table</w:t>
      </w:r>
      <w:r>
        <w:t xml:space="preserve"> </w:t>
      </w:r>
      <w:r>
        <w:t xml:space="preserve">1</w:t>
      </w:r>
      <w:r>
        <w:t xml:space="preserve">). This provided a definition that can be used to understand the observed score relative to the biological context of a reach. Sites with observed scores above the upper limit of the reach expectation (e.g., above the 90th percentile of expected scores) were considered over scoring and sites below the lower limit (e.g., 10th percentile)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2</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2</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any proposed development and/or projects;</w:t>
      </w:r>
    </w:p>
    <w:p>
      <w:pPr>
        <w:pStyle w:val="Compact"/>
        <w:numPr>
          <w:numId w:val="1001"/>
          <w:ilvl w:val="0"/>
        </w:numPr>
      </w:pPr>
      <w:r>
        <w:t xml:space="preserve">Restore: Targeted action for causal assessment and/or restoration activity.</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10th and 90th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reach was excluded from teh NHD Plus dataset (typically, small headwater streams). The former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3</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agriculture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(11% of all stream length) or possibly unconstrained (46%), whereas a minority were likely constrained (4%) or likely unconstrained (39%) (Table</w:t>
      </w:r>
      <w:r>
        <w:t xml:space="preserve"> </w:t>
      </w:r>
      <w:r>
        <w:t xml:space="preserve">5</w:t>
      </w:r>
      <w:r>
        <w:t xml:space="preserve">). By region, the most reaches classified as likely unconstrained reaches were in the Sierra Nevad (50%), North Coast (46%), and Desert Modoc (46%) regions, whereas the most reaches as likely constrained were observed in the Central Valley (22%) and South Coast (15%) regions. Relative CSCI scores compared to reach expectations were as expected for 80% of the sampled locations statewide, whereas a much smaller percentage of sites were equally under or over scoring (Table</w:t>
      </w:r>
      <w:r>
        <w:t xml:space="preserve"> </w:t>
      </w:r>
      <w:r>
        <w:t xml:space="preserve">5</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all stream reaches in the lower watershed were classified as likely constrained. Several reaches in the lower watershed had ranges that were right-skewed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CSCI threshold based on the 10th percentile of reference calibration sites (i.e., 0.79,</w:t>
      </w:r>
      <w:r>
        <w:t xml:space="preserve"> </w:t>
      </w:r>
      <w:r>
        <w:t xml:space="preserve">Mazor et al. (</w:t>
      </w:r>
      <w:hyperlink w:anchor="ref-Mazor16">
        <w:r>
          <w:rPr>
            <w:rStyle w:val="Hyperlink"/>
          </w:rPr>
          <w:t xml:space="preserve">2016</w:t>
        </w:r>
      </w:hyperlink>
      <w:r>
        <w:t xml:space="preserve">)</w:t>
      </w:r>
      <w:r>
        <w:t xml:space="preserve">) and a relatively certain range of expected scores from the 10th to the 90th percentile of the model predictions, only six sites were under-scoring (two likely unconstrained and four likely constrained) and eight sites were over-scoring (five likely constrained, one possibly unconstrained, and two likely unconstrained). One of the under-scoring sites in the likely unconstrained class was below the hypothetical CSCI threshold. One site scoring as expected in the possibly unconstrained class was below the chosen CSCI threshold, whereas none of the constrained (possibly or likely) sites were above the threshold.</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lower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twenty-seven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(5th/95th to 45th/55th at 5% intervals)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the highest level of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6</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FirstParagraph"/>
      </w:pPr>
      <w:r>
        <w:t xml:space="preserve">The landscape models were able to identify the location and extent of biologically constrained channels at the state level and major regions in California. Our application to the SGR watershed demonstrated how the results of the model can be used at the scale of an individual watershed through close interaction with a regional stakeholder group with direct interests in managing the local resources. Overall, the models provide tools that allow managers to determine how best to use limited resources for stream management by focusing on reaches where recommended actions are most likely to have the intended outcome of improving or protecting biological condition. The approach also leverages all available information to develop a context for biological assessment that provides an unambiguous expectation of what is likely to be achieved at any sampling location. This can facilitate more targeted management actions that vary depending on the identified context and can also inform decisions on extent and effort for future monitoring locations.</w:t>
      </w:r>
    </w:p>
    <w:p>
      <w:pPr>
        <w:pStyle w:val="BodyText"/>
      </w:pPr>
      <w:r>
        <w:t xml:space="preserve">Results from our analyses also have implications for managing biological impairments under state or federal water quality mandates. The landscape models could be used to evaluate the list of sites that are not meeting biological objectives by identifying locations where constraints may limit options for restoration. This can provide flexibility by focusing efforts in locations that can be most effectively targeted for actions such as TMDL limits or review of permitting. Further, the ability to evaluate the effects of changing proposed biological thresholds (e.g., tenth percentile of scores at reference sites) and certainty in the model conclusions (i.e., range of biological expectations) on the location and extent of constrained channels provides a means of choosing alternative scenarios for rule-making. A critical objective in allowing this flexibility is not to enable a discounts against sites that are less likely to achieve potential criteria, but rather to facilitate the decision-making process through a more transparent application of the model. Our results showing the change in stream length statewide and by region as related to potential thresholds and model certainty is a direct demonstration of this concept. This exercise could also be downscaled to an individual watershed to aid in rule-making.</w:t>
      </w:r>
    </w:p>
    <w:p>
      <w:pPr>
        <w:pStyle w:val="Heading2"/>
      </w:pPr>
      <w:bookmarkStart w:id="45" w:name="landscape-constraints-can-be-described-using-biological-endpoints"/>
      <w:r>
        <w:t xml:space="preserve">Landscape constraints can be described using biological endpoints</w:t>
      </w:r>
      <w:bookmarkEnd w:id="45"/>
    </w:p>
    <w:p>
      <w:pPr>
        <w:pStyle w:val="FirstParagraph"/>
      </w:pPr>
      <w:r>
        <w:t xml:space="preserve">Our approach has several advantages compared to alternative means of identifying constraints on biological condition. The landscape model relies exclusively on publically available data using geospatial methods to identify potential constraints. An alternative is a field-based approach using site visits to characterize likely constraints at a location. While both approaches have strengths, the field-based approach is, by definition, labor-intensive and not appropriate as a screening tool to identify patterns on the landscape. More appropriately, the tools provided by the landscape approach could be used to inform decisions on where site visits may be needed to corraborate information from the model. The identification of constrained channels in urban areas that rely on field visits may also define the problem too narrowly. Physical habitat can be extremely limited in engineered channels and our models identified many of these locations in our case study. However, these channels were identified as constrained based on land use only. Constrained channels not in urban landscapes were also identified by the model, as for many streams in agricultural areas. The ability of the model to identify these locations was not accidental given the landscape variables that were used to develop the bioassessment predictions. In the context of the model, a constrained channel may or may not be engineered, but an engineered channel will typically be classified as constrained given the surrounding land use. These results are well supported by other landscape studies, particularly for macroinvertebrates</w:t>
      </w:r>
      <w:r>
        <w:t xml:space="preserve"> </w:t>
      </w:r>
      <w:r>
        <w:t xml:space="preserve">(May et al.</w:t>
      </w:r>
      <w:r>
        <w:t xml:space="preserve"> </w:t>
      </w:r>
      <w:hyperlink w:anchor="ref-May15">
        <w:r>
          <w:rPr>
            <w:rStyle w:val="Hyperlink"/>
          </w:rPr>
          <w:t xml:space="preserve">2015</w:t>
        </w:r>
      </w:hyperlink>
      <w:r>
        <w:t xml:space="preserve">)</w:t>
      </w:r>
      <w:r>
        <w:t xml:space="preserve">.</w:t>
      </w:r>
    </w:p>
    <w:p>
      <w:pPr>
        <w:pStyle w:val="BodyText"/>
      </w:pPr>
      <w:r>
        <w:t xml:space="preserve">Our approach also has the advantage of relating strictly to biological condition, as compared to physical or chemical endpoints to assess constraints. This has relevance from the perspective of ecological interpretation as well as potential implications for regulatory standards. The ability of the landscape models to predict the range of expected biological condition at a given site reflects an associative link between land use and stream biology. However, similar arguments that have been made for the use of biological indicators over chemical and physical indicators for assessment can be applied to identifying constraints with the landscape models. A limited range expectations at the lower end of the distibution of CSCI scores is an indication that stressors originating from the landscape have imposed habitat limits that constrain biology. A landscape model that is calibrated for physical or chemical endpoints may not sufficiently describe condition given that a constraint on either may not adequately characterize a constraint on biology. From a regulatory perspective, many states, including California, have explicit assessment requirements that relate to biology and the landscape models are well aligned with existing bioassessment tools. The use of biological endpoints in the landscape models will likely facilitate the development of biological standards as noted above. Landscape models could also be used to support conservation planning, particularly at the watershed scale.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w:t>
      </w:r>
    </w:p>
    <w:p>
      <w:pPr>
        <w:pStyle w:val="Heading2"/>
      </w:pPr>
      <w:bookmarkStart w:id="46" w:name="engagement-of-local-stakeholders-is-critical-for-regional-application"/>
      <w:r>
        <w:t xml:space="preserve">Engagement of local stakeholders is critical for regional application</w:t>
      </w:r>
      <w:bookmarkEnd w:id="46"/>
    </w:p>
    <w:p>
      <w:pPr>
        <w:pStyle w:val="FirstParagraph"/>
      </w:pPr>
      <w:r>
        <w:t xml:space="preserve">Application of the landscape models to define potential management actions was effectively enabled through close interaction with our regional stakeholder group. The group was convened specifically to explore how the statewide model could be applied to inform decision-making at the watershed-level. The identified actions for monitoring sites in the San Gabriel watershed was chosen by discussion among the stakeholders that represented different interests (i.e., regulators, dischargers, consultants, and environmental advocates). The final decision by the group to prioritize management actions for the different sites in broad categories of protect, restore, and monitor was based on an iterative process where ideas were discussed and shared freely among stakeholders. Priorities were never assumed such that the recommended actions were defined through iterative discussion by the group. This approach ensured that stakeholders were generally in agreement with the final product and, therefore, more likely to adopt the recommendations provided by these tools in formal decision-making. The recommended actions have relevance only in the context of interests of the San Gabriel River Regional Monitoring Program. Application of the statewide model to other watersheds must engage local stakeholders in a similar process to develop recommendations that are adequate to meet regional needs.</w:t>
      </w:r>
    </w:p>
    <w:p>
      <w:pPr>
        <w:pStyle w:val="BodyText"/>
      </w:pPr>
      <w:r>
        <w:t xml:space="preserve">The development of the SCAPE tool (see supplement) was also critical for engaging the stakeholder group. The tool was developed to achieve the dual purposes of demonstrating concepts applied by the model and allowing stakeholders to iteratively evaluate scenarios for defining stream classifications and priorities. Initial challanges in engaging stakeholders were encountered wherein a complete understanding of concepts, as well as limitations, of the model was insufficient for discussing regional application to the SGR. The tool provided a means of demonstrating these concepts that was not possible through more conventional methods, such as static presentations or simple text vignettes. SCAPE also allowed stakeholders to explore the different scenarios that influence the model output, specifically related to changing certainties in the CSCI score predictions and the ability explore alternative thresholds for biological objectives. This functionality is key in our approach to allow the stakeholders to develop recommendations that are completely independent of the model, i.e., decisions are not hard-wired into the model nor SCAPE. Application of the landscape models to other regions will benefit from similar tools that can easily be developed.</w:t>
      </w:r>
    </w:p>
    <w:p>
      <w:pPr>
        <w:pStyle w:val="Heading2"/>
      </w:pPr>
      <w:bookmarkStart w:id="47" w:name="the-landscape-model-is-a-tool-for-exploring-options"/>
      <w:r>
        <w:t xml:space="preserve">The landscape model is a tool for exploring options</w:t>
      </w:r>
      <w:bookmarkEnd w:id="47"/>
    </w:p>
    <w:p>
      <w:pPr>
        <w:pStyle w:val="FirstParagraph"/>
      </w:pPr>
      <w:r>
        <w:t xml:space="preserve">The primary objective of developing the landscape models was to provide a screening tool for exploring biological constraints to facilitate a discussion of management options relative to site contexts. These models are not intended for developing regulatory designations for individual sites, nor are they sufficient by themselves as a use attainability assessment at constrained sites. Specifically, the landscape model is associative by design and does not identify mechanistic links between biological constraints and proximal causes.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We have explicitly not incorporated channel modification as a predictive mechanism by which biological constraints may occur, although habitat limitations imposed by modification may impose real limits on biology. Alternatively, bioasessment scores can be similar in modified channels compared to natural streams independent of watershed land use</w:t>
      </w:r>
      <w:r>
        <w:t xml:space="preserve"> </w:t>
      </w:r>
      <w:r>
        <w:t xml:space="preserve">(Stein et al.</w:t>
      </w:r>
      <w:r>
        <w:t xml:space="preserve"> </w:t>
      </w:r>
      <w:hyperlink w:anchor="ref-Stein13">
        <w:r>
          <w:rPr>
            <w:rStyle w:val="Hyperlink"/>
          </w:rPr>
          <w:t xml:space="preserve">2013</w:t>
        </w:r>
      </w:hyperlink>
      <w:r>
        <w:t xml:space="preserve">)</w:t>
      </w:r>
      <w:r>
        <w:t xml:space="preserve">. The landscape model describes constraints at scales larger than instream characteristics as a necessary approach to accurately predict bioassessment scores. More comprehensive assessments at individual sites are needed to diagnose the immediate causes of degraded condition.</w:t>
      </w:r>
    </w:p>
    <w:p>
      <w:pPr>
        <w:pStyle w:val="BodyText"/>
      </w:pPr>
      <w:r>
        <w:t xml:space="preserve">An additional consideration in applying the model to inform management decisions is the meaning of biologically constrained in the context of macroinvertebrate communities. Biologically constrained sites were considered those where landscapes were likely to limit the bioassessment index. The CSCI provides an indication of stream health by estimating the macroinvertebrate community that is likely to be present under factors that naturally influence biology for the region and comparing the observed community to the estimate. A constrained site as estimated by the landscape model is only constrained relative to the macroinvertebrate community. In many cases, poor biotic condition of the macroinvertebrate community translates to poor stream condition. However, a constrained macroinvertebrate community does not always mean other aspects diagnostic of stream health are also constrained. Many urban streams can support diverse algal assemblages such that algal-based measures of biotic condition may alternatively suggest good biotic condition relative to macroinvertebrate-based indices. This limitation of the landscape model is not unique to other bioassessment tools and application to other taxa as alternatives lines of evidence is needed for a more complete condition assessment.</w:t>
      </w:r>
    </w:p>
    <w:p>
      <w:pPr>
        <w:pStyle w:val="Heading2"/>
      </w:pPr>
      <w:bookmarkStart w:id="48" w:name="additional-applications-of-the-landscape-model"/>
      <w:r>
        <w:t xml:space="preserve">Additional applications of the landscape model</w:t>
      </w:r>
      <w:bookmarkEnd w:id="48"/>
    </w:p>
    <w:p>
      <w:pPr>
        <w:pStyle w:val="FirstParagraph"/>
      </w:pPr>
      <w:r>
        <w:t xml:space="preserve">This work has immediate relevance for informing use of bioassessment indices in freshwater streams of California, both from the perspective of identifying management priorities and for developing an interpretation of broad scale factors that limit ecological integrity. Our use of geospatial datasets that are descriptive at the national scale suggests that these methods could be applied elsewhere and in unique bioassessment contexts. The NHD and StreamCat datasets cover the entire hydrologic network of the conterminous United States and national-scale bioassessment tools are available through the National Rivers and Streams Assessment</w:t>
      </w:r>
      <w:r>
        <w:t xml:space="preserve"> </w:t>
      </w:r>
      <w:r>
        <w:t xml:space="preserve">(USEPA (US Environmental Protection Agency)</w:t>
      </w:r>
      <w:r>
        <w:t xml:space="preserve"> </w:t>
      </w:r>
      <w:hyperlink w:anchor="ref-USEPA16">
        <w:r>
          <w:rPr>
            <w:rStyle w:val="Hyperlink"/>
          </w:rPr>
          <w:t xml:space="preserve">2016</w:t>
        </w:r>
      </w:hyperlink>
      <w:r>
        <w:t xml:space="preserve">; Hill et al.</w:t>
      </w:r>
      <w:r>
        <w:t xml:space="preserve"> </w:t>
      </w:r>
      <w:hyperlink w:anchor="ref-Hill17">
        <w:r>
          <w:rPr>
            <w:rStyle w:val="Hyperlink"/>
          </w:rPr>
          <w:t xml:space="preserve">2017</w:t>
        </w:r>
      </w:hyperlink>
      <w:r>
        <w:t xml:space="preserve">)</w:t>
      </w:r>
      <w:r>
        <w:t xml:space="preserve">. Statewide extension of the landscape model could be explored to develop a national scale product of constraints on biological condition. Although landscape stressors are ubiquituous at the contintental scale, extention of the landscape models beyond California should consider regional variation in landscape stressors that are predictive of biotic condition. Urban and agricultural gradients were sufficient to characterize constraints in many regions of California, whereas the model did not perform well in regions where thes gradients did not occur. A national level landscape model must consider alternative predictors provided by the StreamCat model that are sufficient to model biological condition.</w:t>
      </w:r>
    </w:p>
    <w:p>
      <w:pPr>
        <w:pStyle w:val="Heading2"/>
      </w:pPr>
      <w:bookmarkStart w:id="49" w:name="summary"/>
      <w:r>
        <w:t xml:space="preserve">Summary</w:t>
      </w:r>
      <w:bookmarkEnd w:id="49"/>
    </w:p>
    <w:p>
      <w:pPr>
        <w:pStyle w:val="FirstParagraph"/>
      </w:pPr>
      <w:r>
        <w:t xml:space="preserve">The prevalence of degraded stream sites in California requires the use of 1) assessment tools that can accurately evaluate condition, and 2) tools that can provide a context for evaluating assessment tools. The landscape model was developed to better inform application of the CSCI to inform decision-making in the context of landscape constraints on biological condition. Statewide development of the tool demonstrated where streams are likely constrained on a regional basis, whereas application to the SGR watershed demonstrated how the tool can be used by local stakeholders to prioritize management actions that are informed by landscape context. Most importantly, this tool does not provide a prescription for causes of impairment, nor does it discount sites from management intervention if constraints are high. The landscape model can inform the interpretation of biotic condition and is an exploratory tool that can help identify where management goals are most likely to be achieved.</w:t>
      </w:r>
    </w:p>
    <w:p>
      <w:pPr>
        <w:pStyle w:val="Heading1"/>
      </w:pPr>
      <w:bookmarkStart w:id="50" w:name="supplement"/>
      <w:r>
        <w:t xml:space="preserve">Supplement</w:t>
      </w:r>
      <w:bookmarkEnd w:id="50"/>
    </w:p>
    <w:p>
      <w:pPr>
        <w:pStyle w:val="FirstParagraph"/>
      </w:pPr>
      <w:r>
        <w:t xml:space="preserve">The SCAPE model application website:</w:t>
      </w:r>
      <w:r>
        <w:t xml:space="preserve"> </w:t>
      </w:r>
      <w:hyperlink r:id="rId51">
        <w:r>
          <w:rPr>
            <w:rStyle w:val="Hyperlink"/>
          </w:rPr>
          <w:t xml:space="preserve">http://shiny.sccwrp.org/scape/</w:t>
        </w:r>
      </w:hyperlink>
    </w:p>
    <w:p>
      <w:pPr>
        <w:pStyle w:val="Heading1"/>
      </w:pPr>
      <w:bookmarkStart w:id="52" w:name="figures"/>
      <w:r>
        <w:t xml:space="preserve">Figures</w:t>
      </w:r>
      <w:bookmarkEnd w:id="52"/>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53"/>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54"/>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6"/>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60"/>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2)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61"/>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2</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6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504749" cy="7339665"/>
            <wp:effectExtent b="0" l="0" r="0" t="0"/>
            <wp:docPr descr="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6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w:t>
      </w:r>
    </w:p>
    <w:p>
      <w:pPr>
        <w:pStyle w:val="Heading1"/>
      </w:pPr>
      <w:bookmarkStart w:id="64" w:name="tables"/>
      <w:r>
        <w:t xml:space="preserve">Tables</w:t>
      </w:r>
      <w:bookmarkEnd w:id="64"/>
    </w:p>
    <w:p>
      <w:pPr>
        <w:pStyle w:val="TableCaption"/>
      </w:pPr>
      <w:r>
        <w:t xml:space="preserve">Table 1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1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Median prediction is above threshold</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Median prediction is below threshold</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2 Possible site types based on stream reach classification, relative site score, and observed CSCI score. The observed score column describes where a CSCI score is observed relative to the lower and upper percentiles (e.g., 10th and 90th) of expected scores for a reach and the chosen CSCI threshold (e.g., 10th percentile of scores at reference sites or 0.79) for nominally low or high values.</w:t>
      </w:r>
    </w:p>
    <w:tbl>
      <w:tblPr>
        <w:tblStyle w:val="Table"/>
        <w:tblW w:type="pct" w:w="0.0"/>
        <w:tblLook w:firstRow="1"/>
        <w:tblCaption w:val="Table 2 Possible site types based on stream reach classification, relative site score, and observed CSCI score. The observed score column describes where a CSCI score is observed relative to the lower and upper percentiles (e.g., 10th and 90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3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3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w:t>
            </w:r>
          </w:p>
        </w:tc>
        <w:tc>
          <w:p>
            <w:pPr>
              <w:pStyle w:val="Compact"/>
              <w:jc w:val="right"/>
            </w:pPr>
            <w:r>
              <w:t xml:space="preserve">0.75</w:t>
            </w:r>
          </w:p>
        </w:tc>
        <w:tc>
          <w:p>
            <w:pPr>
              <w:pStyle w:val="Compact"/>
              <w:jc w:val="right"/>
            </w:pPr>
            <w:r>
              <w:t xml:space="preserve">0.17</w:t>
            </w:r>
          </w:p>
        </w:tc>
        <w:tc>
          <w:p>
            <w:pPr>
              <w:pStyle w:val="Compact"/>
              <w:jc w:val="right"/>
            </w:pPr>
            <w:r>
              <w:t xml:space="preserve">0.34</w:t>
            </w:r>
          </w:p>
        </w:tc>
        <w:tc>
          <w:p>
            <w:pPr>
              <w:pStyle w:val="Compact"/>
              <w:jc w:val="righ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right"/>
            </w:pPr>
            <w:r>
              <w:t xml:space="preserve">0.71</w:t>
            </w:r>
          </w:p>
        </w:tc>
        <w:tc>
          <w:p>
            <w:pPr>
              <w:pStyle w:val="Compact"/>
              <w:jc w:val="right"/>
            </w:pPr>
            <w:r>
              <w:t xml:space="preserve">0.19</w:t>
            </w:r>
          </w:p>
        </w:tc>
        <w:tc>
          <w:p>
            <w:pPr>
              <w:pStyle w:val="Compact"/>
              <w:jc w:val="right"/>
            </w:pPr>
            <w:r>
              <w:t xml:space="preserve">0.38</w:t>
            </w:r>
          </w:p>
        </w:tc>
        <w:tc>
          <w:p>
            <w:pPr>
              <w:pStyle w:val="Compact"/>
              <w:jc w:val="righ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right"/>
            </w:pPr>
            <w:r>
              <w:t xml:space="preserve">0.66</w:t>
            </w:r>
          </w:p>
        </w:tc>
        <w:tc>
          <w:p>
            <w:pPr>
              <w:pStyle w:val="Compact"/>
              <w:jc w:val="right"/>
            </w:pPr>
            <w:r>
              <w:t xml:space="preserve">0.15</w:t>
            </w:r>
          </w:p>
        </w:tc>
        <w:tc>
          <w:p>
            <w:pPr>
              <w:pStyle w:val="Compact"/>
              <w:jc w:val="right"/>
            </w:pPr>
            <w:r>
              <w:t xml:space="preserve">0.29</w:t>
            </w:r>
          </w:p>
        </w:tc>
        <w:tc>
          <w:p>
            <w:pPr>
              <w:pStyle w:val="Compact"/>
              <w:jc w:val="righ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right"/>
            </w:pPr>
            <w:r>
              <w:t xml:space="preserve">0.50</w:t>
            </w:r>
          </w:p>
        </w:tc>
        <w:tc>
          <w:p>
            <w:pPr>
              <w:pStyle w:val="Compact"/>
              <w:jc w:val="right"/>
            </w:pPr>
            <w:r>
              <w:t xml:space="preserve">0.20</w:t>
            </w:r>
          </w:p>
        </w:tc>
        <w:tc>
          <w:p>
            <w:pPr>
              <w:pStyle w:val="Compact"/>
              <w:jc w:val="right"/>
            </w:pPr>
            <w:r>
              <w:t xml:space="preserve">0.63</w:t>
            </w:r>
          </w:p>
        </w:tc>
        <w:tc>
          <w:p>
            <w:pPr>
              <w:pStyle w:val="Compact"/>
              <w:jc w:val="righ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0.94 (0.13)</w:t>
            </w:r>
          </w:p>
        </w:tc>
        <w:tc>
          <w:p>
            <w:pPr>
              <w:pStyle w:val="Compact"/>
              <w:jc w:val="right"/>
            </w:pPr>
            <w:r>
              <w:t xml:space="preserve">0.55</w:t>
            </w:r>
          </w:p>
        </w:tc>
        <w:tc>
          <w:p>
            <w:pPr>
              <w:pStyle w:val="Compact"/>
              <w:jc w:val="right"/>
            </w:pPr>
            <w:r>
              <w:t xml:space="preserve">0.17</w:t>
            </w:r>
          </w:p>
        </w:tc>
        <w:tc>
          <w:p>
            <w:pPr>
              <w:pStyle w:val="Compact"/>
              <w:jc w:val="right"/>
            </w:pPr>
            <w:r>
              <w:t xml:space="preserve">0.61</w:t>
            </w:r>
          </w:p>
        </w:tc>
        <w:tc>
          <w:p>
            <w:pPr>
              <w:pStyle w:val="Compact"/>
              <w:jc w:val="righ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right"/>
            </w:pPr>
            <w:r>
              <w:t xml:space="preserve">0.75</w:t>
            </w:r>
          </w:p>
        </w:tc>
        <w:tc>
          <w:p>
            <w:pPr>
              <w:pStyle w:val="Compact"/>
              <w:jc w:val="right"/>
            </w:pPr>
            <w:r>
              <w:t xml:space="preserve">0.16</w:t>
            </w:r>
          </w:p>
        </w:tc>
        <w:tc>
          <w:p>
            <w:pPr>
              <w:pStyle w:val="Compact"/>
              <w:jc w:val="right"/>
            </w:pPr>
            <w:r>
              <w:t xml:space="preserve">0.27</w:t>
            </w:r>
          </w:p>
        </w:tc>
        <w:tc>
          <w:p>
            <w:pPr>
              <w:pStyle w:val="Compact"/>
              <w:jc w:val="righ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right"/>
            </w:pPr>
            <w:r>
              <w:t xml:space="preserve">0.45</w:t>
            </w:r>
          </w:p>
        </w:tc>
        <w:tc>
          <w:p>
            <w:pPr>
              <w:pStyle w:val="Compact"/>
              <w:jc w:val="right"/>
            </w:pPr>
            <w:r>
              <w:t xml:space="preserve">0.16</w:t>
            </w:r>
          </w:p>
        </w:tc>
        <w:tc>
          <w:p>
            <w:pPr>
              <w:pStyle w:val="Compact"/>
              <w:jc w:val="right"/>
            </w:pPr>
            <w:r>
              <w:t xml:space="preserve">0.75</w:t>
            </w:r>
          </w:p>
        </w:tc>
        <w:tc>
          <w:p>
            <w:pPr>
              <w:pStyle w:val="Compact"/>
              <w:jc w:val="righ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right"/>
            </w:pPr>
            <w:r>
              <w:t xml:space="preserve">0.74</w:t>
            </w:r>
          </w:p>
        </w:tc>
        <w:tc>
          <w:p>
            <w:pPr>
              <w:pStyle w:val="Compact"/>
              <w:jc w:val="right"/>
            </w:pPr>
            <w:r>
              <w:t xml:space="preserve">0.19</w:t>
            </w:r>
          </w:p>
        </w:tc>
        <w:tc>
          <w:p>
            <w:pPr>
              <w:pStyle w:val="Compact"/>
              <w:jc w:val="right"/>
            </w:pPr>
            <w:r>
              <w:t xml:space="preserve">0.39</w:t>
            </w:r>
          </w:p>
        </w:tc>
        <w:tc>
          <w:p>
            <w:pPr>
              <w:pStyle w:val="Compact"/>
              <w:jc w:val="righ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right"/>
            </w:pPr>
            <w:r>
              <w:t xml:space="preserve">0.49</w:t>
            </w:r>
          </w:p>
        </w:tc>
        <w:tc>
          <w:p>
            <w:pPr>
              <w:pStyle w:val="Compact"/>
              <w:jc w:val="right"/>
            </w:pPr>
            <w:r>
              <w:t xml:space="preserve">0.19</w:t>
            </w:r>
          </w:p>
        </w:tc>
        <w:tc>
          <w:p>
            <w:pPr>
              <w:pStyle w:val="Compact"/>
              <w:jc w:val="right"/>
            </w:pPr>
            <w:r>
              <w:t xml:space="preserve">0.38</w:t>
            </w:r>
          </w:p>
        </w:tc>
        <w:tc>
          <w:p>
            <w:pPr>
              <w:pStyle w:val="Compact"/>
              <w:jc w:val="righ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right"/>
            </w:pPr>
            <w:r>
              <w:t xml:space="preserve">0.55</w:t>
            </w:r>
          </w:p>
        </w:tc>
        <w:tc>
          <w:p>
            <w:pPr>
              <w:pStyle w:val="Compact"/>
              <w:jc w:val="right"/>
            </w:pPr>
            <w:r>
              <w:t xml:space="preserve">0.17</w:t>
            </w:r>
          </w:p>
        </w:tc>
        <w:tc>
          <w:p>
            <w:pPr>
              <w:pStyle w:val="Compact"/>
              <w:jc w:val="right"/>
            </w:pPr>
            <w:r>
              <w:t xml:space="preserve">0.63</w:t>
            </w:r>
          </w:p>
        </w:tc>
        <w:tc>
          <w:p>
            <w:pPr>
              <w:pStyle w:val="Compact"/>
              <w:jc w:val="righ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0.72</w:t>
            </w:r>
          </w:p>
        </w:tc>
        <w:tc>
          <w:p>
            <w:pPr>
              <w:pStyle w:val="Compact"/>
              <w:jc w:val="right"/>
            </w:pPr>
            <w:r>
              <w:t xml:space="preserve">0.17</w:t>
            </w:r>
          </w:p>
        </w:tc>
        <w:tc>
          <w:p>
            <w:pPr>
              <w:pStyle w:val="Compact"/>
              <w:jc w:val="right"/>
            </w:pPr>
            <w:r>
              <w:t xml:space="preserve">0.27</w:t>
            </w:r>
          </w:p>
        </w:tc>
        <w:tc>
          <w:p>
            <w:pPr>
              <w:pStyle w:val="Compact"/>
              <w:jc w:val="righ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0.21</w:t>
            </w:r>
          </w:p>
        </w:tc>
        <w:tc>
          <w:p>
            <w:pPr>
              <w:pStyle w:val="Compact"/>
              <w:jc w:val="right"/>
            </w:pPr>
            <w:r>
              <w:t xml:space="preserve">0.17</w:t>
            </w:r>
          </w:p>
        </w:tc>
        <w:tc>
          <w:p>
            <w:pPr>
              <w:pStyle w:val="Compact"/>
              <w:jc w:val="right"/>
            </w:pPr>
            <w:r>
              <w:t xml:space="preserve">0.88</w:t>
            </w:r>
          </w:p>
        </w:tc>
        <w:tc>
          <w:p>
            <w:pPr>
              <w:pStyle w:val="Compact"/>
              <w:jc w:val="righ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168"/>
        <w:gridCol w:w="1425"/>
        <w:gridCol w:w="1301"/>
        <w:gridCol w:w="1594"/>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69 (13)</w:t>
            </w:r>
          </w:p>
        </w:tc>
      </w:tr>
    </w:tbl>
    <w:p>
      <w:pPr>
        <w:pStyle w:val="TableCaption"/>
      </w:pPr>
      <w:r>
        <w:t xml:space="preserve">Table 6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6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5" w:name="references"/>
      <w:r>
        <w:t xml:space="preserve">References</w:t>
      </w:r>
      <w:bookmarkEnd w:id="65"/>
    </w:p>
    <w:bookmarkStart w:id="134" w:name="refs"/>
    <w:bookmarkStart w:id="67"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6">
        <w:r>
          <w:rPr>
            <w:rStyle w:val="Hyperlink"/>
          </w:rPr>
          <w:t xml:space="preserve">https://doi.org/10.1046/j.1365-2427.1997.d01-546.x</w:t>
        </w:r>
      </w:hyperlink>
      <w:r>
        <w:t xml:space="preserve">.</w:t>
      </w:r>
    </w:p>
    <w:bookmarkEnd w:id="67"/>
    <w:bookmarkStart w:id="69"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8">
        <w:r>
          <w:rPr>
            <w:rStyle w:val="Hyperlink"/>
          </w:rPr>
          <w:t xml:space="preserve">https://doi.org/10.1146/annurev.ecolsys.35.120202.110122</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0"/>
    <w:bookmarkStart w:id="71"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71"/>
    <w:bookmarkStart w:id="73"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72">
        <w:r>
          <w:rPr>
            <w:rStyle w:val="Hyperlink"/>
          </w:rPr>
          <w:t xml:space="preserve">https://doi.org/10.1111/j.1526-100X.2007.00285.x</w:t>
        </w:r>
      </w:hyperlink>
      <w:r>
        <w:t xml:space="preserve">.</w:t>
      </w:r>
    </w:p>
    <w:bookmarkEnd w:id="73"/>
    <w:bookmarkStart w:id="75"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74">
        <w:r>
          <w:rPr>
            <w:rStyle w:val="Hyperlink"/>
          </w:rPr>
          <w:t xml:space="preserve">https://doi.org/10.1007/s10661-008-0256-z</w:t>
        </w:r>
      </w:hyperlink>
      <w:r>
        <w:t xml:space="preserve">.</w:t>
      </w:r>
    </w:p>
    <w:bookmarkEnd w:id="75"/>
    <w:bookmarkStart w:id="77"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6">
        <w:r>
          <w:rPr>
            <w:rStyle w:val="Hyperlink"/>
          </w:rPr>
          <w:t xml:space="preserve">https://doi.org/10.1016/j.ecolind.2013.07.006</w:t>
        </w:r>
      </w:hyperlink>
      <w:r>
        <w:t xml:space="preserve">.</w:t>
      </w:r>
    </w:p>
    <w:bookmarkEnd w:id="77"/>
    <w:bookmarkStart w:id="79"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78">
        <w:r>
          <w:rPr>
            <w:rStyle w:val="Hyperlink"/>
          </w:rPr>
          <w:t xml:space="preserve">https://doi.org/10.1111/j.1365-2427.2011.02696.x</w:t>
        </w:r>
      </w:hyperlink>
      <w:r>
        <w:t xml:space="preserve">.</w:t>
      </w:r>
    </w:p>
    <w:bookmarkEnd w:id="79"/>
    <w:bookmarkStart w:id="81"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80">
        <w:r>
          <w:rPr>
            <w:rStyle w:val="Hyperlink"/>
          </w:rPr>
          <w:t xml:space="preserve">https://doi.org/10.1002/etc.2059</w:t>
        </w:r>
      </w:hyperlink>
      <w:r>
        <w:t xml:space="preserve">.</w:t>
      </w:r>
    </w:p>
    <w:bookmarkEnd w:id="81"/>
    <w:bookmarkStart w:id="83"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82">
        <w:r>
          <w:rPr>
            <w:rStyle w:val="Hyperlink"/>
          </w:rPr>
          <w:t xml:space="preserve">https://doi.org/10.1111/j.1752-1688.2000.tb05717.x</w:t>
        </w:r>
      </w:hyperlink>
      <w:r>
        <w:t xml:space="preserve">.</w:t>
      </w:r>
    </w:p>
    <w:bookmarkEnd w:id="83"/>
    <w:bookmarkStart w:id="85"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84">
        <w:r>
          <w:rPr>
            <w:rStyle w:val="Hyperlink"/>
          </w:rPr>
          <w:t xml:space="preserve">https://doi.org/10.1007/s10661-017-6025-0</w:t>
        </w:r>
      </w:hyperlink>
      <w:r>
        <w:t xml:space="preserve">.</w:t>
      </w:r>
    </w:p>
    <w:bookmarkEnd w:id="85"/>
    <w:bookmarkStart w:id="86"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86"/>
    <w:bookmarkStart w:id="88"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87">
        <w:r>
          <w:rPr>
            <w:rStyle w:val="Hyperlink"/>
          </w:rPr>
          <w:t xml:space="preserve">https://doi.org/10.1002/eap.1617</w:t>
        </w:r>
      </w:hyperlink>
      <w:r>
        <w:t xml:space="preserve">.</w:t>
      </w:r>
    </w:p>
    <w:bookmarkEnd w:id="88"/>
    <w:bookmarkStart w:id="90"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89">
        <w:r>
          <w:rPr>
            <w:rStyle w:val="Hyperlink"/>
          </w:rPr>
          <w:t xml:space="preserve">https://doi.org/10.1111/1752-1688.12372</w:t>
        </w:r>
      </w:hyperlink>
      <w:r>
        <w:t xml:space="preserve">.</w:t>
      </w:r>
    </w:p>
    <w:bookmarkEnd w:id="90"/>
    <w:bookmarkStart w:id="92"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91">
        <w:r>
          <w:rPr>
            <w:rStyle w:val="Hyperlink"/>
          </w:rPr>
          <w:t xml:space="preserve">https://doi.org/10.1086/697996</w:t>
        </w:r>
      </w:hyperlink>
      <w:r>
        <w:t xml:space="preserve">.</w:t>
      </w:r>
    </w:p>
    <w:bookmarkEnd w:id="92"/>
    <w:bookmarkStart w:id="94"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93">
        <w:r>
          <w:rPr>
            <w:rStyle w:val="Hyperlink"/>
          </w:rPr>
          <w:t xml:space="preserve">https://doi.org/10.1371/journal.pone.0130710</w:t>
        </w:r>
      </w:hyperlink>
      <w:r>
        <w:t xml:space="preserve">.</w:t>
      </w:r>
    </w:p>
    <w:bookmarkEnd w:id="94"/>
    <w:bookmarkStart w:id="95"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95"/>
    <w:bookmarkStart w:id="97"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96">
        <w:r>
          <w:rPr>
            <w:rStyle w:val="Hyperlink"/>
          </w:rPr>
          <w:t xml:space="preserve">https://doi.org/10.1111/j.1752-1688.2011.00635.x</w:t>
        </w:r>
      </w:hyperlink>
      <w:r>
        <w:t xml:space="preserve">.</w:t>
      </w:r>
    </w:p>
    <w:bookmarkEnd w:id="97"/>
    <w:bookmarkStart w:id="99"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98">
        <w:r>
          <w:rPr>
            <w:rStyle w:val="Hyperlink"/>
          </w:rPr>
          <w:t xml:space="preserve">https://doi.org/10.1016/j.scitotenv.2015.07.083</w:t>
        </w:r>
      </w:hyperlink>
      <w:r>
        <w:t xml:space="preserve">.</w:t>
      </w:r>
    </w:p>
    <w:bookmarkEnd w:id="99"/>
    <w:bookmarkStart w:id="101"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00">
        <w:r>
          <w:rPr>
            <w:rStyle w:val="Hyperlink"/>
          </w:rPr>
          <w:t xml:space="preserve">https://doi.org/10.1007%2Fs00267-008-9151-1</w:t>
        </w:r>
      </w:hyperlink>
      <w:r>
        <w:t xml:space="preserve">.</w:t>
      </w:r>
    </w:p>
    <w:bookmarkEnd w:id="101"/>
    <w:bookmarkStart w:id="102"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102"/>
    <w:bookmarkStart w:id="104" w:name="ref-May15"/>
    <w:p>
      <w:pPr>
        <w:pStyle w:val="Bibliography"/>
      </w:pPr>
      <w:r>
        <w:t xml:space="preserve">May, J. T., L. R. Brown, A. C. Rehn, I. R. Waite, P. R. Ode, R. D. Mazor, and K. C. Schiff. 2015. “Correspondence of Biological Condition Models of California Streams at Statewide and Regional Scales.”</w:t>
      </w:r>
      <w:r>
        <w:t xml:space="preserve"> </w:t>
      </w:r>
      <w:r>
        <w:rPr>
          <w:i/>
        </w:rPr>
        <w:t xml:space="preserve">Envrionmental Monitoring and Assessment</w:t>
      </w:r>
      <w:r>
        <w:t xml:space="preserve"> </w:t>
      </w:r>
      <w:r>
        <w:t xml:space="preserve">187:4086.</w:t>
      </w:r>
      <w:r>
        <w:t xml:space="preserve"> </w:t>
      </w:r>
      <w:hyperlink r:id="rId103">
        <w:r>
          <w:rPr>
            <w:rStyle w:val="Hyperlink"/>
          </w:rPr>
          <w:t xml:space="preserve">https://doi.org/10.1007/s10661-014-4086-x</w:t>
        </w:r>
      </w:hyperlink>
      <w:r>
        <w:t xml:space="preserve">.</w:t>
      </w:r>
    </w:p>
    <w:bookmarkEnd w:id="104"/>
    <w:bookmarkStart w:id="105"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05"/>
    <w:bookmarkStart w:id="106"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06"/>
    <w:bookmarkStart w:id="108"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07">
        <w:r>
          <w:rPr>
            <w:rStyle w:val="Hyperlink"/>
          </w:rPr>
          <w:t xml:space="preserve">https://CRAN.R-project.org/package=quantregForest</w:t>
        </w:r>
      </w:hyperlink>
      <w:r>
        <w:t xml:space="preserve">.</w:t>
      </w:r>
    </w:p>
    <w:bookmarkEnd w:id="108"/>
    <w:bookmarkStart w:id="109"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09"/>
    <w:bookmarkStart w:id="111"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10">
        <w:r>
          <w:rPr>
            <w:rStyle w:val="Hyperlink"/>
          </w:rPr>
          <w:t xml:space="preserve">https://doi.org/10.1016/j.watres.2004.09.002</w:t>
        </w:r>
      </w:hyperlink>
      <w:r>
        <w:t xml:space="preserve">.</w:t>
      </w:r>
    </w:p>
    <w:bookmarkEnd w:id="111"/>
    <w:bookmarkStart w:id="112"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112"/>
    <w:bookmarkStart w:id="113"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13"/>
    <w:bookmarkStart w:id="115"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14">
        <w:r>
          <w:rPr>
            <w:rStyle w:val="Hyperlink"/>
          </w:rPr>
          <w:t xml:space="preserve">https://doi.org/10.1890/11-0077.1</w:t>
        </w:r>
      </w:hyperlink>
      <w:r>
        <w:t xml:space="preserve">.</w:t>
      </w:r>
    </w:p>
    <w:bookmarkEnd w:id="115"/>
    <w:bookmarkStart w:id="116"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16"/>
    <w:bookmarkStart w:id="118"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17">
        <w:r>
          <w:rPr>
            <w:rStyle w:val="Hyperlink"/>
          </w:rPr>
          <w:t xml:space="preserve">https://doi.org/10.1111/gec3.12039</w:t>
        </w:r>
      </w:hyperlink>
      <w:r>
        <w:t xml:space="preserve">.</w:t>
      </w:r>
    </w:p>
    <w:bookmarkEnd w:id="118"/>
    <w:bookmarkStart w:id="120"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19">
        <w:r>
          <w:rPr>
            <w:rStyle w:val="Hyperlink"/>
          </w:rPr>
          <w:t xml:space="preserve">https://doi.org/10.1007/s10661-010-1385-8</w:t>
        </w:r>
      </w:hyperlink>
      <w:r>
        <w:t xml:space="preserve">.</w:t>
      </w:r>
    </w:p>
    <w:bookmarkEnd w:id="120"/>
    <w:bookmarkStart w:id="122"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21">
        <w:r>
          <w:rPr>
            <w:rStyle w:val="Hyperlink"/>
          </w:rPr>
          <w:t xml:space="preserve">https://doi.org/10.1046/j.1365-2427.2001.00758.x</w:t>
        </w:r>
      </w:hyperlink>
      <w:r>
        <w:t xml:space="preserve">.</w:t>
      </w:r>
    </w:p>
    <w:bookmarkEnd w:id="122"/>
    <w:bookmarkStart w:id="124"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23">
        <w:r>
          <w:rPr>
            <w:rStyle w:val="Hyperlink"/>
          </w:rPr>
          <w:t xml:space="preserve">https://doi.org/10.1111/jawr.12035</w:t>
        </w:r>
      </w:hyperlink>
      <w:r>
        <w:t xml:space="preserve">.</w:t>
      </w:r>
    </w:p>
    <w:bookmarkEnd w:id="124"/>
    <w:bookmarkStart w:id="126"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25">
        <w:r>
          <w:rPr>
            <w:rStyle w:val="Hyperlink"/>
          </w:rPr>
          <w:t xml:space="preserve">https://doi.org/10.1111/j.1365-2664.2008.01548.x</w:t>
        </w:r>
      </w:hyperlink>
      <w:r>
        <w:t xml:space="preserve">.</w:t>
      </w:r>
    </w:p>
    <w:bookmarkEnd w:id="126"/>
    <w:bookmarkStart w:id="127" w:name="ref-USEPA16"/>
    <w:p>
      <w:pPr>
        <w:pStyle w:val="Bibliography"/>
      </w:pPr>
      <w:r>
        <w:t xml:space="preserve">USEPA (US Environmental Protection Agency). 2016. “National Rivers and Streams Assessment 2008-2009: A Collaborative Survey.” EPA-841-R-16-007. Washington, DC.</w:t>
      </w:r>
    </w:p>
    <w:bookmarkEnd w:id="127"/>
    <w:bookmarkStart w:id="128" w:name="ref-USGS99"/>
    <w:p>
      <w:pPr>
        <w:pStyle w:val="Bibliography"/>
      </w:pPr>
      <w:r>
        <w:t xml:space="preserve">USGS (US Geological Survey). 1999. “The quality of our nation’s waters: nutrients and pesticides.” Reston, Virginia.</w:t>
      </w:r>
    </w:p>
    <w:bookmarkEnd w:id="128"/>
    <w:bookmarkStart w:id="129" w:name="ref-USGS14"/>
    <w:p>
      <w:pPr>
        <w:pStyle w:val="Bibliography"/>
      </w:pPr>
      <w:r>
        <w:t xml:space="preserve">———. 2014. “National Hydrography Dataset available on the World Wide Web.”</w:t>
      </w:r>
    </w:p>
    <w:bookmarkEnd w:id="129"/>
    <w:bookmarkStart w:id="131"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30">
        <w:r>
          <w:rPr>
            <w:rStyle w:val="Hyperlink"/>
          </w:rPr>
          <w:t xml:space="preserve">https://doi.org/10.1023/A:1023374524254</w:t>
        </w:r>
      </w:hyperlink>
      <w:r>
        <w:t xml:space="preserve">.</w:t>
      </w:r>
    </w:p>
    <w:bookmarkEnd w:id="131"/>
    <w:bookmarkStart w:id="133"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32">
        <w:r>
          <w:rPr>
            <w:rStyle w:val="Hyperlink"/>
          </w:rPr>
          <w:t xml:space="preserve">https://doi.org/10.1577/1548-8446(1997)022%3C0006:IOWLUO%3E2.0.CO;2</w:t>
        </w:r>
      </w:hyperlink>
      <w:r>
        <w:t xml:space="preserve">.</w:t>
      </w:r>
    </w:p>
    <w:bookmarkEnd w:id="133"/>
    <w:bookmarkEnd w:id="13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hyperlink" Id="rId51" Target="http://shiny.sccwrp.org/scape/" TargetMode="External" /><Relationship Type="http://schemas.openxmlformats.org/officeDocument/2006/relationships/hyperlink" Id="rId107" Target="https://CRAN.R-project.org/package=quantregForest" TargetMode="External" /><Relationship Type="http://schemas.openxmlformats.org/officeDocument/2006/relationships/hyperlink" Id="rId87" Target="https://doi.org/10.1002/eap.1617" TargetMode="External" /><Relationship Type="http://schemas.openxmlformats.org/officeDocument/2006/relationships/hyperlink" Id="rId80" Target="https://doi.org/10.1002/etc.2059" TargetMode="External" /><Relationship Type="http://schemas.openxmlformats.org/officeDocument/2006/relationships/hyperlink" Id="rId100" Target="https://doi.org/10.1007%2Fs00267-008-9151-1" TargetMode="External" /><Relationship Type="http://schemas.openxmlformats.org/officeDocument/2006/relationships/hyperlink" Id="rId74" Target="https://doi.org/10.1007/s10661-008-0256-z" TargetMode="External" /><Relationship Type="http://schemas.openxmlformats.org/officeDocument/2006/relationships/hyperlink" Id="rId119" Target="https://doi.org/10.1007/s10661-010-1385-8" TargetMode="External" /><Relationship Type="http://schemas.openxmlformats.org/officeDocument/2006/relationships/hyperlink" Id="rId103" Target="https://doi.org/10.1007/s10661-014-4086-x" TargetMode="External" /><Relationship Type="http://schemas.openxmlformats.org/officeDocument/2006/relationships/hyperlink" Id="rId84" Target="https://doi.org/10.1007/s10661-017-6025-0" TargetMode="External" /><Relationship Type="http://schemas.openxmlformats.org/officeDocument/2006/relationships/hyperlink" Id="rId76" Target="https://doi.org/10.1016/j.ecolind.2013.07.006" TargetMode="External" /><Relationship Type="http://schemas.openxmlformats.org/officeDocument/2006/relationships/hyperlink" Id="rId98" Target="https://doi.org/10.1016/j.scitotenv.2015.07.083" TargetMode="External" /><Relationship Type="http://schemas.openxmlformats.org/officeDocument/2006/relationships/hyperlink" Id="rId110" Target="https://doi.org/10.1016/j.watres.2004.09.002" TargetMode="External" /><Relationship Type="http://schemas.openxmlformats.org/officeDocument/2006/relationships/hyperlink" Id="rId130"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21" Target="https://doi.org/10.1046/j.1365-2427.2001.00758.x" TargetMode="External" /><Relationship Type="http://schemas.openxmlformats.org/officeDocument/2006/relationships/hyperlink" Id="rId91" Target="https://doi.org/10.1086/697996" TargetMode="External" /><Relationship Type="http://schemas.openxmlformats.org/officeDocument/2006/relationships/hyperlink" Id="rId89" Target="https://doi.org/10.1111/1752-1688.12372" TargetMode="External" /><Relationship Type="http://schemas.openxmlformats.org/officeDocument/2006/relationships/hyperlink" Id="rId117" Target="https://doi.org/10.1111/gec3.12039" TargetMode="External" /><Relationship Type="http://schemas.openxmlformats.org/officeDocument/2006/relationships/hyperlink" Id="rId78" Target="https://doi.org/10.1111/j.1365-2427.2011.02696.x" TargetMode="External" /><Relationship Type="http://schemas.openxmlformats.org/officeDocument/2006/relationships/hyperlink" Id="rId125" Target="https://doi.org/10.1111/j.1365-2664.2008.01548.x" TargetMode="External" /><Relationship Type="http://schemas.openxmlformats.org/officeDocument/2006/relationships/hyperlink" Id="rId72" Target="https://doi.org/10.1111/j.1526-100X.2007.00285.x" TargetMode="External" /><Relationship Type="http://schemas.openxmlformats.org/officeDocument/2006/relationships/hyperlink" Id="rId82" Target="https://doi.org/10.1111/j.1752-1688.2000.tb05717.x" TargetMode="External" /><Relationship Type="http://schemas.openxmlformats.org/officeDocument/2006/relationships/hyperlink" Id="rId96" Target="https://doi.org/10.1111/j.1752-1688.2011.00635.x" TargetMode="External" /><Relationship Type="http://schemas.openxmlformats.org/officeDocument/2006/relationships/hyperlink" Id="rId123" Target="https://doi.org/10.1111/jawr.12035" TargetMode="External" /><Relationship Type="http://schemas.openxmlformats.org/officeDocument/2006/relationships/hyperlink" Id="rId68" Target="https://doi.org/10.1146/annurev.ecolsys.35.120202.110122" TargetMode="External" /><Relationship Type="http://schemas.openxmlformats.org/officeDocument/2006/relationships/hyperlink" Id="rId93" Target="https://doi.org/10.1371/journal.pone.0130710" TargetMode="External" /><Relationship Type="http://schemas.openxmlformats.org/officeDocument/2006/relationships/hyperlink" Id="rId132" Target="https://doi.org/10.1577/1548-8446(1997)022%3C0006:IOWLUO%3E2.0.CO;2" TargetMode="External" /><Relationship Type="http://schemas.openxmlformats.org/officeDocument/2006/relationships/hyperlink" Id="rId114"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51" Target="http://shiny.sccwrp.org/scape/" TargetMode="External" /><Relationship Type="http://schemas.openxmlformats.org/officeDocument/2006/relationships/hyperlink" Id="rId107" Target="https://CRAN.R-project.org/package=quantregForest" TargetMode="External" /><Relationship Type="http://schemas.openxmlformats.org/officeDocument/2006/relationships/hyperlink" Id="rId87" Target="https://doi.org/10.1002/eap.1617" TargetMode="External" /><Relationship Type="http://schemas.openxmlformats.org/officeDocument/2006/relationships/hyperlink" Id="rId80" Target="https://doi.org/10.1002/etc.2059" TargetMode="External" /><Relationship Type="http://schemas.openxmlformats.org/officeDocument/2006/relationships/hyperlink" Id="rId100" Target="https://doi.org/10.1007%2Fs00267-008-9151-1" TargetMode="External" /><Relationship Type="http://schemas.openxmlformats.org/officeDocument/2006/relationships/hyperlink" Id="rId74" Target="https://doi.org/10.1007/s10661-008-0256-z" TargetMode="External" /><Relationship Type="http://schemas.openxmlformats.org/officeDocument/2006/relationships/hyperlink" Id="rId119" Target="https://doi.org/10.1007/s10661-010-1385-8" TargetMode="External" /><Relationship Type="http://schemas.openxmlformats.org/officeDocument/2006/relationships/hyperlink" Id="rId103" Target="https://doi.org/10.1007/s10661-014-4086-x" TargetMode="External" /><Relationship Type="http://schemas.openxmlformats.org/officeDocument/2006/relationships/hyperlink" Id="rId84" Target="https://doi.org/10.1007/s10661-017-6025-0" TargetMode="External" /><Relationship Type="http://schemas.openxmlformats.org/officeDocument/2006/relationships/hyperlink" Id="rId76" Target="https://doi.org/10.1016/j.ecolind.2013.07.006" TargetMode="External" /><Relationship Type="http://schemas.openxmlformats.org/officeDocument/2006/relationships/hyperlink" Id="rId98" Target="https://doi.org/10.1016/j.scitotenv.2015.07.083" TargetMode="External" /><Relationship Type="http://schemas.openxmlformats.org/officeDocument/2006/relationships/hyperlink" Id="rId110" Target="https://doi.org/10.1016/j.watres.2004.09.002" TargetMode="External" /><Relationship Type="http://schemas.openxmlformats.org/officeDocument/2006/relationships/hyperlink" Id="rId130"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21" Target="https://doi.org/10.1046/j.1365-2427.2001.00758.x" TargetMode="External" /><Relationship Type="http://schemas.openxmlformats.org/officeDocument/2006/relationships/hyperlink" Id="rId91" Target="https://doi.org/10.1086/697996" TargetMode="External" /><Relationship Type="http://schemas.openxmlformats.org/officeDocument/2006/relationships/hyperlink" Id="rId89" Target="https://doi.org/10.1111/1752-1688.12372" TargetMode="External" /><Relationship Type="http://schemas.openxmlformats.org/officeDocument/2006/relationships/hyperlink" Id="rId117" Target="https://doi.org/10.1111/gec3.12039" TargetMode="External" /><Relationship Type="http://schemas.openxmlformats.org/officeDocument/2006/relationships/hyperlink" Id="rId78" Target="https://doi.org/10.1111/j.1365-2427.2011.02696.x" TargetMode="External" /><Relationship Type="http://schemas.openxmlformats.org/officeDocument/2006/relationships/hyperlink" Id="rId125" Target="https://doi.org/10.1111/j.1365-2664.2008.01548.x" TargetMode="External" /><Relationship Type="http://schemas.openxmlformats.org/officeDocument/2006/relationships/hyperlink" Id="rId72" Target="https://doi.org/10.1111/j.1526-100X.2007.00285.x" TargetMode="External" /><Relationship Type="http://schemas.openxmlformats.org/officeDocument/2006/relationships/hyperlink" Id="rId82" Target="https://doi.org/10.1111/j.1752-1688.2000.tb05717.x" TargetMode="External" /><Relationship Type="http://schemas.openxmlformats.org/officeDocument/2006/relationships/hyperlink" Id="rId96" Target="https://doi.org/10.1111/j.1752-1688.2011.00635.x" TargetMode="External" /><Relationship Type="http://schemas.openxmlformats.org/officeDocument/2006/relationships/hyperlink" Id="rId123" Target="https://doi.org/10.1111/jawr.12035" TargetMode="External" /><Relationship Type="http://schemas.openxmlformats.org/officeDocument/2006/relationships/hyperlink" Id="rId68" Target="https://doi.org/10.1146/annurev.ecolsys.35.120202.110122" TargetMode="External" /><Relationship Type="http://schemas.openxmlformats.org/officeDocument/2006/relationships/hyperlink" Id="rId93" Target="https://doi.org/10.1371/journal.pone.0130710" TargetMode="External" /><Relationship Type="http://schemas.openxmlformats.org/officeDocument/2006/relationships/hyperlink" Id="rId132" Target="https://doi.org/10.1577/1548-8446(1997)022%3C0006:IOWLUO%3E2.0.CO;2" TargetMode="External" /><Relationship Type="http://schemas.openxmlformats.org/officeDocument/2006/relationships/hyperlink" Id="rId114"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2018-06-11T23:15:00Z</dcterms:created>
  <dcterms:modified xsi:type="dcterms:W3CDTF">2018-06-11T23:15:00Z</dcterms:modified>
</cp:coreProperties>
</file>